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AD" w:rsidRDefault="007C4FAD" w:rsidP="007C4FAD">
      <w:pPr>
        <w:spacing w:line="240" w:lineRule="exact"/>
        <w:rPr>
          <w:rFonts w:ascii="仿宋_GB2312"/>
          <w:sz w:val="28"/>
        </w:rPr>
      </w:pPr>
    </w:p>
    <w:p w:rsidR="007C4FAD" w:rsidRDefault="007C4FAD" w:rsidP="007C4FAD">
      <w:pPr>
        <w:spacing w:line="240" w:lineRule="exact"/>
        <w:rPr>
          <w:rFonts w:ascii="仿宋_GB2312"/>
          <w:sz w:val="28"/>
        </w:rPr>
      </w:pPr>
    </w:p>
    <w:p w:rsidR="007C4FAD" w:rsidRDefault="007C4FAD" w:rsidP="007C4FAD">
      <w:pPr>
        <w:spacing w:line="240" w:lineRule="exact"/>
        <w:rPr>
          <w:rFonts w:ascii="仿宋_GB2312"/>
          <w:sz w:val="28"/>
        </w:rPr>
      </w:pPr>
    </w:p>
    <w:p w:rsidR="007C4FAD" w:rsidRDefault="007C4FAD" w:rsidP="007C4FAD">
      <w:pPr>
        <w:spacing w:line="860" w:lineRule="exact"/>
        <w:jc w:val="center"/>
        <w:rPr>
          <w:rFonts w:ascii="仿宋" w:eastAsia="仿宋" w:hAnsi="仿宋"/>
          <w:b/>
          <w:bCs/>
          <w:color w:val="FF0000"/>
          <w:sz w:val="84"/>
        </w:rPr>
      </w:pPr>
      <w:r>
        <w:rPr>
          <w:rFonts w:ascii="仿宋" w:eastAsia="仿宋" w:hAnsi="仿宋" w:hint="eastAsia"/>
          <w:b/>
          <w:bCs/>
          <w:color w:val="FF0000"/>
          <w:sz w:val="84"/>
        </w:rPr>
        <w:t>沈阳音乐学院文件</w:t>
      </w:r>
    </w:p>
    <w:p w:rsidR="007C4FAD" w:rsidRDefault="007C4FAD" w:rsidP="007C4FAD">
      <w:pPr>
        <w:spacing w:line="240" w:lineRule="exact"/>
        <w:rPr>
          <w:rFonts w:ascii="仿宋_GB2312" w:eastAsia="宋体" w:hAnsi="Calibri"/>
          <w:sz w:val="28"/>
        </w:rPr>
      </w:pPr>
    </w:p>
    <w:p w:rsidR="007C4FAD" w:rsidRDefault="007C4FAD" w:rsidP="007C4FAD">
      <w:pPr>
        <w:spacing w:line="240" w:lineRule="exact"/>
        <w:rPr>
          <w:rFonts w:ascii="仿宋_GB2312" w:hAnsi="Times New Roman"/>
          <w:sz w:val="30"/>
          <w:szCs w:val="30"/>
        </w:rPr>
      </w:pPr>
    </w:p>
    <w:p w:rsidR="007C4FAD" w:rsidRPr="00F1346F" w:rsidRDefault="007C4FAD" w:rsidP="00F1346F">
      <w:pPr>
        <w:jc w:val="center"/>
        <w:rPr>
          <w:rFonts w:ascii="仿宋" w:eastAsia="仿宋" w:hAnsi="仿宋" w:cs="仿宋_GB2312"/>
          <w:sz w:val="32"/>
          <w:szCs w:val="32"/>
        </w:rPr>
      </w:pPr>
      <w:r>
        <w:rPr>
          <w:rFonts w:ascii="仿宋" w:eastAsia="仿宋" w:hAnsi="仿宋" w:hint="eastAsia"/>
          <w:sz w:val="32"/>
          <w:szCs w:val="32"/>
        </w:rPr>
        <w:t>沈音院字</w:t>
      </w:r>
      <w:r>
        <w:rPr>
          <w:rFonts w:ascii="仿宋" w:eastAsia="仿宋" w:hAnsi="仿宋" w:cs="仿宋_GB2312" w:hint="eastAsia"/>
          <w:sz w:val="32"/>
          <w:szCs w:val="32"/>
        </w:rPr>
        <w:t>〔2018〕</w:t>
      </w:r>
      <w:r w:rsidR="00491145">
        <w:rPr>
          <w:rFonts w:ascii="仿宋" w:eastAsia="仿宋" w:hAnsi="仿宋" w:cs="仿宋_GB2312" w:hint="eastAsia"/>
          <w:sz w:val="32"/>
          <w:szCs w:val="32"/>
        </w:rPr>
        <w:t>103</w:t>
      </w:r>
      <w:r w:rsidR="00E532EB">
        <w:rPr>
          <w:rFonts w:ascii="仿宋" w:eastAsia="仿宋" w:hAnsi="仿宋" w:hint="eastAsia"/>
          <w:sz w:val="32"/>
          <w:szCs w:val="32"/>
        </w:rPr>
        <w:t xml:space="preserve"> </w:t>
      </w:r>
      <w:r>
        <w:rPr>
          <w:rFonts w:ascii="仿宋" w:eastAsia="仿宋" w:hAnsi="仿宋" w:hint="eastAsia"/>
          <w:sz w:val="32"/>
          <w:szCs w:val="32"/>
        </w:rPr>
        <w:t>号</w:t>
      </w:r>
    </w:p>
    <w:p w:rsidR="007C4FAD" w:rsidRDefault="007C4FAD" w:rsidP="007C4FAD">
      <w:pPr>
        <w:spacing w:line="460" w:lineRule="exact"/>
        <w:rPr>
          <w:rFonts w:ascii="Calibri" w:hAnsi="Times New Roman"/>
          <w:color w:val="FF0000"/>
          <w:sz w:val="48"/>
          <w:szCs w:val="22"/>
          <w:u w:val="single"/>
          <w:lang w:val="ru-RU"/>
        </w:rPr>
      </w:pPr>
      <w:r>
        <w:rPr>
          <w:color w:val="FF0000"/>
          <w:sz w:val="48"/>
          <w:u w:val="single"/>
          <w:lang w:val="ru-RU"/>
        </w:rPr>
        <w:t xml:space="preserve">                                         </w:t>
      </w:r>
    </w:p>
    <w:p w:rsidR="0062736F" w:rsidRDefault="0062736F" w:rsidP="0062736F">
      <w:pPr>
        <w:spacing w:line="600" w:lineRule="exact"/>
        <w:rPr>
          <w:rFonts w:ascii="仿宋_GB2312" w:eastAsia="仿宋_GB2312" w:hAnsi="仿宋_GB2312" w:cs="仿宋_GB2312"/>
          <w:b/>
          <w:bCs/>
          <w:sz w:val="44"/>
          <w:szCs w:val="44"/>
        </w:rPr>
      </w:pPr>
    </w:p>
    <w:p w:rsidR="00F36CA0" w:rsidRDefault="00F36CA0" w:rsidP="00F36CA0">
      <w:pPr>
        <w:pStyle w:val="a7"/>
        <w:spacing w:line="600" w:lineRule="exact"/>
        <w:ind w:firstLineChars="0" w:firstLine="0"/>
        <w:jc w:val="center"/>
        <w:outlineLvl w:val="2"/>
        <w:rPr>
          <w:rFonts w:ascii="宋体" w:hAnsi="宋体"/>
          <w:b/>
          <w:bCs/>
          <w:color w:val="000000"/>
          <w:sz w:val="44"/>
          <w:szCs w:val="44"/>
        </w:rPr>
      </w:pPr>
      <w:r>
        <w:rPr>
          <w:rFonts w:ascii="宋体" w:hAnsi="宋体" w:hint="eastAsia"/>
          <w:b/>
          <w:bCs/>
          <w:color w:val="000000"/>
          <w:sz w:val="44"/>
          <w:szCs w:val="44"/>
        </w:rPr>
        <w:t>沈阳音乐学院课程试卷库建设实施办法</w:t>
      </w:r>
    </w:p>
    <w:p w:rsidR="00F36CA0" w:rsidRDefault="00F36CA0" w:rsidP="00F36CA0">
      <w:pPr>
        <w:spacing w:line="600" w:lineRule="exact"/>
        <w:jc w:val="center"/>
        <w:rPr>
          <w:rFonts w:ascii="仿宋" w:eastAsia="仿宋" w:hAnsi="仿宋"/>
          <w:b/>
          <w:bCs/>
          <w:color w:val="000000"/>
          <w:sz w:val="34"/>
          <w:szCs w:val="34"/>
        </w:rPr>
      </w:pPr>
    </w:p>
    <w:p w:rsidR="00F36CA0"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试卷库建设是规范教学管理，实行教考分离，改善学风、考风，提高教学质量的重要措施。为进一步完善考试制度及考试管理的各个环节，经学院研究决定，所有以笔答为考试形式的课程（含思想政治理论课、公共基础课、专业基础课）均实行试卷库制。为组织好我院试卷库建设，特制定本办法。</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黑体" w:eastAsia="黑体" w:hAnsi="黑体" w:hint="eastAsia"/>
          <w:bCs/>
          <w:color w:val="000000"/>
          <w:sz w:val="32"/>
          <w:szCs w:val="32"/>
        </w:rPr>
        <w:t>一、组织</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（一）由主管教学的副院长直接领导，由教务处根据课程特点，组织专家和教师进行研究、论证，确定试卷库命题计划，具体组织实施。</w:t>
      </w:r>
    </w:p>
    <w:p w:rsidR="00F36CA0"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（二）试卷库命题教师必须长期从事教学，有较强业务能力，了解本课程特点，思想品质好，一般应具有中级或中级以上职称</w:t>
      </w:r>
      <w:r>
        <w:rPr>
          <w:rFonts w:ascii="仿宋_GB2312" w:eastAsia="仿宋_GB2312" w:hAnsi="仿宋" w:hint="eastAsia"/>
          <w:color w:val="000000"/>
          <w:sz w:val="32"/>
          <w:szCs w:val="32"/>
        </w:rPr>
        <w:t xml:space="preserve">。 </w:t>
      </w:r>
    </w:p>
    <w:p w:rsidR="00F36CA0" w:rsidRDefault="00F36CA0" w:rsidP="00F36CA0">
      <w:pPr>
        <w:spacing w:line="600" w:lineRule="exact"/>
        <w:ind w:rightChars="-19" w:right="-40" w:firstLineChars="200" w:firstLine="640"/>
        <w:rPr>
          <w:rFonts w:ascii="黑体" w:eastAsia="黑体" w:hAnsi="黑体"/>
          <w:bCs/>
          <w:color w:val="000000"/>
          <w:sz w:val="32"/>
          <w:szCs w:val="32"/>
        </w:rPr>
      </w:pPr>
      <w:r w:rsidRPr="00404DA2">
        <w:rPr>
          <w:rFonts w:ascii="黑体" w:eastAsia="黑体" w:hAnsi="黑体" w:hint="eastAsia"/>
          <w:bCs/>
          <w:color w:val="000000"/>
          <w:sz w:val="32"/>
          <w:szCs w:val="32"/>
        </w:rPr>
        <w:t>二、原则</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楷体_GB2312" w:eastAsia="楷体_GB2312" w:hAnsi="楷体" w:hint="eastAsia"/>
          <w:color w:val="000000"/>
          <w:sz w:val="32"/>
          <w:szCs w:val="32"/>
        </w:rPr>
        <w:t>（一）命题范围</w:t>
      </w:r>
    </w:p>
    <w:p w:rsidR="00F36CA0"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以教学大纲为依据，以确定的教材为范围。考核学生掌握课</w:t>
      </w:r>
      <w:r w:rsidRPr="00404DA2">
        <w:rPr>
          <w:rFonts w:ascii="仿宋_GB2312" w:eastAsia="仿宋_GB2312" w:hAnsi="仿宋" w:hint="eastAsia"/>
          <w:color w:val="000000"/>
          <w:sz w:val="32"/>
          <w:szCs w:val="32"/>
        </w:rPr>
        <w:lastRenderedPageBreak/>
        <w:t>程的基本原理、基本知识的程度和运用基本原理解决实际问题的能力。考试内容的取样具有代表性，即试卷能基本反映出该课程的知识框架。</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楷体_GB2312" w:eastAsia="楷体_GB2312" w:hAnsi="楷体" w:hint="eastAsia"/>
          <w:color w:val="000000"/>
          <w:sz w:val="32"/>
          <w:szCs w:val="32"/>
        </w:rPr>
        <w:t>（二）分值</w:t>
      </w:r>
    </w:p>
    <w:p w:rsidR="00F36CA0"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根据学院的考试制度和课程教学的具体要求、学生学习的实际情况来确定期末闭卷考试试卷分值。</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楷体_GB2312" w:eastAsia="楷体_GB2312" w:hAnsi="楷体" w:hint="eastAsia"/>
          <w:color w:val="000000"/>
          <w:sz w:val="32"/>
          <w:szCs w:val="32"/>
        </w:rPr>
        <w:t>（三）套数</w:t>
      </w:r>
    </w:p>
    <w:p w:rsidR="00F36CA0"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根据我院各方面的实际情况，条件成熟的课程以出五套题（三套期末考试使用，二套补、缓考考试使用）为基础，以后根据情况变化再作改动或补充。</w:t>
      </w:r>
    </w:p>
    <w:p w:rsidR="00F36CA0" w:rsidRDefault="00F36CA0" w:rsidP="00F36CA0">
      <w:pPr>
        <w:spacing w:line="600" w:lineRule="exact"/>
        <w:ind w:rightChars="-19" w:right="-40" w:firstLineChars="200" w:firstLine="640"/>
        <w:rPr>
          <w:rFonts w:ascii="黑体" w:eastAsia="黑体" w:hAnsi="黑体"/>
          <w:bCs/>
          <w:color w:val="000000"/>
          <w:sz w:val="32"/>
          <w:szCs w:val="32"/>
        </w:rPr>
      </w:pPr>
      <w:r w:rsidRPr="00404DA2">
        <w:rPr>
          <w:rFonts w:ascii="黑体" w:eastAsia="黑体" w:hAnsi="黑体" w:hint="eastAsia"/>
          <w:bCs/>
          <w:color w:val="000000"/>
          <w:sz w:val="32"/>
          <w:szCs w:val="32"/>
        </w:rPr>
        <w:t>三、要求</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楷体_GB2312" w:eastAsia="楷体_GB2312" w:hAnsi="楷体" w:hint="eastAsia"/>
          <w:color w:val="000000"/>
          <w:sz w:val="32"/>
          <w:szCs w:val="32"/>
        </w:rPr>
        <w:t>（一）编制试题的要求</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1.编制试题应做到：题意明确、科学、合理，具有考查意义；文字通顺简洁，表述准确，标点符号无误；绘制谱例清楚；不出政治性、科学性的错误；切忌出偏题、怪题、超纲题。</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2.编制试题时，对重要的考查内容，可以通过不同题型或不同侧面提出问题。一道试题可以只考核一个考查点，也可以考核不同章节的多个考查点。</w:t>
      </w:r>
    </w:p>
    <w:p w:rsidR="00F36CA0"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3.编制的试题可包括客观性试题和主观性试题两大类。音乐基础理论类、作曲与作曲技术理论类试题题型可参照以上要求并根据课程的特点和要求自行掌握。</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楷体_GB2312" w:eastAsia="楷体_GB2312" w:hAnsi="楷体" w:hint="eastAsia"/>
          <w:color w:val="000000"/>
          <w:sz w:val="32"/>
          <w:szCs w:val="32"/>
        </w:rPr>
        <w:t>（二）组配试卷的要求</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1.内容结构：基本理论和基本知识的内容占试题的40%，重</w:t>
      </w:r>
      <w:r w:rsidRPr="00404DA2">
        <w:rPr>
          <w:rFonts w:ascii="仿宋_GB2312" w:eastAsia="仿宋_GB2312" w:hAnsi="仿宋" w:hint="eastAsia"/>
          <w:color w:val="000000"/>
          <w:sz w:val="32"/>
          <w:szCs w:val="32"/>
        </w:rPr>
        <w:lastRenderedPageBreak/>
        <w:t>点内容占试题的40%，有一定难度的内容占试题的20%。</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2.难易结构：易、较易的试题占40%—50%，中等难度的试题占30%—40%，较难、难的试题占10%—20%。每套试题的题型和每大题中的小题都应按从易到难的顺序排列。</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3.题型结构：基本理论和基本知识的试题要覆盖课程教学大纲中要求学习的各章节，主要编制客观性试题；重点内容试题和有一定难度内容的试题主要编制主观性试题。其中理论联系实际的试题应有一定份量。题型结构由客观性试题和主观性试题两部分组成的，应合理安排分值比例。</w:t>
      </w:r>
    </w:p>
    <w:p w:rsidR="00F36CA0"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4.每套试卷中的试题不得有相互提示答案的内容。每套试题在内容结构、难易结构、题型结构等方面应是平行相当的，试题重复率不超过40%。</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黑体" w:eastAsia="黑体" w:hAnsi="黑体" w:hint="eastAsia"/>
          <w:bCs/>
          <w:color w:val="000000"/>
          <w:sz w:val="32"/>
          <w:szCs w:val="32"/>
        </w:rPr>
        <w:t>四、试题标准答案及评分标准编制的要求</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（一）客观性试题的答案必须确定、唯一；主观性试题的答案要准确、全面、规范、简洁，且具有一定的客观性内容。</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二）科学合理地编制评分标准和评分要点，避免阅卷误差，确保考试质量和评分质量。尤其是对考查综合能力、运用能力的试题不能仅仅就答案要点分配分值，即各个答案要点满分之和小于整题的满分，评分时既考查在各个答案要点上的得分，又要根据对答案的整体评价来调整分数。</w:t>
      </w:r>
    </w:p>
    <w:p w:rsidR="00F36CA0"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（三）部分试题如和声等无法写出标准答案的，可以不写标准答案，但对试题评分的标准及扣分和得分点应有明确的要求。</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黑体" w:eastAsia="黑体" w:hAnsi="黑体" w:hint="eastAsia"/>
          <w:bCs/>
          <w:color w:val="000000"/>
          <w:sz w:val="32"/>
          <w:szCs w:val="32"/>
        </w:rPr>
        <w:t>五、保密规定</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lastRenderedPageBreak/>
        <w:t>（一）命题人员的人选、分工、分散或集中命题的一切活动都应严格保密。</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（二）课程考试试题、试卷、答案、评分标准启用前属绝密材料，任何人不得以任何方式泄密。</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（三）命题教师不得为学生编制该课程的模拟试题。不得泄漏试题，不得提示或暗示考试命题的范围。</w:t>
      </w:r>
    </w:p>
    <w:p w:rsidR="00F36CA0"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（四）如在命题及其他环节上出现泄密，则视其性质及情节追究当事人责任。</w:t>
      </w:r>
    </w:p>
    <w:p w:rsidR="00F36CA0" w:rsidRDefault="00F36CA0" w:rsidP="00F36CA0">
      <w:pPr>
        <w:spacing w:line="600" w:lineRule="exact"/>
        <w:ind w:rightChars="-19" w:right="-40" w:firstLineChars="200" w:firstLine="640"/>
        <w:rPr>
          <w:rFonts w:ascii="黑体" w:eastAsia="黑体" w:hAnsi="黑体"/>
          <w:bCs/>
          <w:color w:val="000000"/>
          <w:sz w:val="32"/>
          <w:szCs w:val="32"/>
        </w:rPr>
      </w:pPr>
      <w:r w:rsidRPr="00404DA2">
        <w:rPr>
          <w:rFonts w:ascii="黑体" w:eastAsia="黑体" w:hAnsi="黑体" w:hint="eastAsia"/>
          <w:bCs/>
          <w:color w:val="000000"/>
          <w:sz w:val="32"/>
          <w:szCs w:val="32"/>
        </w:rPr>
        <w:t>六、其他事宜</w:t>
      </w:r>
    </w:p>
    <w:p w:rsidR="00F36CA0"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本办法自2018年7月</w:t>
      </w:r>
      <w:r w:rsidR="006B0974">
        <w:rPr>
          <w:rFonts w:ascii="仿宋_GB2312" w:eastAsia="仿宋_GB2312" w:hAnsi="仿宋" w:hint="eastAsia"/>
          <w:color w:val="000000"/>
          <w:sz w:val="32"/>
          <w:szCs w:val="32"/>
        </w:rPr>
        <w:t>11</w:t>
      </w:r>
      <w:r w:rsidRPr="00404DA2">
        <w:rPr>
          <w:rFonts w:ascii="仿宋_GB2312" w:eastAsia="仿宋_GB2312" w:hAnsi="仿宋" w:hint="eastAsia"/>
          <w:color w:val="000000"/>
          <w:sz w:val="32"/>
          <w:szCs w:val="32"/>
        </w:rPr>
        <w:t>日</w:t>
      </w:r>
      <w:r w:rsidR="006B0974">
        <w:rPr>
          <w:rFonts w:ascii="仿宋_GB2312" w:eastAsia="仿宋_GB2312" w:hAnsi="仿宋" w:hint="eastAsia"/>
          <w:color w:val="000000"/>
          <w:sz w:val="32"/>
          <w:szCs w:val="32"/>
        </w:rPr>
        <w:t>第13次</w:t>
      </w:r>
      <w:r w:rsidRPr="00404DA2">
        <w:rPr>
          <w:rFonts w:ascii="仿宋_GB2312" w:eastAsia="仿宋_GB2312" w:hAnsi="仿宋" w:hint="eastAsia"/>
          <w:color w:val="000000"/>
          <w:sz w:val="32"/>
          <w:szCs w:val="32"/>
        </w:rPr>
        <w:t>院长办公会</w:t>
      </w:r>
      <w:r w:rsidR="006B0974">
        <w:rPr>
          <w:rFonts w:ascii="仿宋_GB2312" w:eastAsia="仿宋_GB2312" w:hAnsi="仿宋" w:hint="eastAsia"/>
          <w:color w:val="000000"/>
          <w:sz w:val="32"/>
          <w:szCs w:val="32"/>
        </w:rPr>
        <w:t>会议通过之日起实施。本办法</w:t>
      </w:r>
      <w:r w:rsidRPr="00404DA2">
        <w:rPr>
          <w:rFonts w:ascii="仿宋_GB2312" w:eastAsia="仿宋_GB2312" w:hAnsi="仿宋" w:hint="eastAsia"/>
          <w:color w:val="000000"/>
          <w:sz w:val="32"/>
          <w:szCs w:val="32"/>
        </w:rPr>
        <w:t>由教务处负责解释。</w:t>
      </w:r>
    </w:p>
    <w:p w:rsidR="00F36CA0" w:rsidRDefault="00F36CA0" w:rsidP="006B0974">
      <w:pPr>
        <w:spacing w:line="600" w:lineRule="exact"/>
        <w:ind w:rightChars="-19" w:right="-40" w:firstLineChars="200" w:firstLine="640"/>
        <w:rPr>
          <w:rFonts w:ascii="仿宋_GB2312" w:eastAsia="仿宋_GB2312" w:hAnsi="仿宋"/>
          <w:color w:val="000000"/>
          <w:sz w:val="32"/>
          <w:szCs w:val="32"/>
        </w:rPr>
      </w:pP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附件:沈阳音乐学院课程考试试卷规范</w:t>
      </w:r>
    </w:p>
    <w:p w:rsidR="00F36CA0" w:rsidRDefault="00F36CA0" w:rsidP="00F36CA0">
      <w:pPr>
        <w:pStyle w:val="a9"/>
        <w:spacing w:line="600" w:lineRule="exact"/>
        <w:ind w:right="640"/>
        <w:jc w:val="center"/>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p>
    <w:p w:rsidR="00F36CA0" w:rsidRDefault="00F36CA0" w:rsidP="00F36CA0">
      <w:pPr>
        <w:pStyle w:val="a9"/>
        <w:spacing w:line="600" w:lineRule="exact"/>
        <w:ind w:right="640"/>
        <w:jc w:val="center"/>
        <w:rPr>
          <w:rFonts w:ascii="仿宋_GB2312" w:eastAsia="仿宋_GB2312" w:hAnsi="仿宋"/>
          <w:color w:val="000000"/>
          <w:sz w:val="32"/>
          <w:szCs w:val="32"/>
        </w:rPr>
      </w:pPr>
    </w:p>
    <w:p w:rsidR="00F36CA0" w:rsidRDefault="00F36CA0" w:rsidP="00F36CA0">
      <w:pPr>
        <w:pStyle w:val="a9"/>
        <w:spacing w:line="600" w:lineRule="exact"/>
        <w:ind w:right="640"/>
        <w:jc w:val="center"/>
        <w:rPr>
          <w:rFonts w:ascii="仿宋_GB2312" w:eastAsia="仿宋_GB2312" w:hAnsi="仿宋"/>
          <w:color w:val="000000"/>
          <w:sz w:val="32"/>
          <w:szCs w:val="32"/>
        </w:rPr>
      </w:pPr>
    </w:p>
    <w:p w:rsidR="00F36CA0" w:rsidRDefault="00F36CA0" w:rsidP="00F36CA0">
      <w:pPr>
        <w:pStyle w:val="a9"/>
        <w:spacing w:line="600" w:lineRule="exact"/>
        <w:ind w:right="640"/>
        <w:jc w:val="center"/>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r w:rsidRPr="00404DA2">
        <w:rPr>
          <w:rFonts w:ascii="仿宋_GB2312" w:eastAsia="仿宋_GB2312" w:hAnsi="仿宋" w:hint="eastAsia"/>
          <w:color w:val="000000"/>
          <w:sz w:val="32"/>
          <w:szCs w:val="32"/>
        </w:rPr>
        <w:t>沈阳音乐学院</w:t>
      </w:r>
    </w:p>
    <w:p w:rsidR="00F36CA0" w:rsidRPr="00404DA2" w:rsidRDefault="00F36CA0" w:rsidP="00F36CA0">
      <w:pPr>
        <w:pStyle w:val="a9"/>
        <w:spacing w:line="600" w:lineRule="exact"/>
        <w:ind w:right="640"/>
        <w:jc w:val="center"/>
        <w:rPr>
          <w:rFonts w:ascii="仿宋_GB2312" w:eastAsia="仿宋_GB2312" w:hAnsi="仿宋"/>
          <w:color w:val="000000"/>
          <w:sz w:val="32"/>
          <w:szCs w:val="32"/>
        </w:rPr>
      </w:pPr>
      <w:r>
        <w:rPr>
          <w:rFonts w:ascii="仿宋_GB2312" w:eastAsia="仿宋_GB2312" w:hAnsi="仿宋" w:hint="eastAsia"/>
          <w:color w:val="000000"/>
          <w:sz w:val="32"/>
          <w:szCs w:val="32"/>
        </w:rPr>
        <w:t xml:space="preserve">                                  2018年7月</w:t>
      </w:r>
      <w:r w:rsidR="00F1346F">
        <w:rPr>
          <w:rFonts w:ascii="仿宋_GB2312" w:eastAsia="仿宋_GB2312" w:hAnsi="仿宋" w:hint="eastAsia"/>
          <w:color w:val="000000"/>
          <w:sz w:val="32"/>
          <w:szCs w:val="32"/>
        </w:rPr>
        <w:t>20</w:t>
      </w:r>
      <w:r>
        <w:rPr>
          <w:rFonts w:ascii="仿宋_GB2312" w:eastAsia="仿宋_GB2312" w:hAnsi="仿宋" w:hint="eastAsia"/>
          <w:color w:val="000000"/>
          <w:sz w:val="32"/>
          <w:szCs w:val="32"/>
        </w:rPr>
        <w:t>日</w:t>
      </w:r>
    </w:p>
    <w:p w:rsidR="00E532EB" w:rsidRDefault="00E532EB" w:rsidP="00E532EB">
      <w:pPr>
        <w:spacing w:line="600" w:lineRule="exact"/>
        <w:ind w:leftChars="1200" w:left="2520" w:right="640" w:firstLineChars="900" w:firstLine="2880"/>
        <w:jc w:val="center"/>
        <w:rPr>
          <w:rFonts w:ascii="仿宋_GB2312" w:eastAsia="仿宋_GB2312" w:hAnsi="仿宋"/>
          <w:color w:val="000000"/>
          <w:sz w:val="32"/>
          <w:szCs w:val="32"/>
        </w:rPr>
      </w:pPr>
    </w:p>
    <w:p w:rsidR="00E532EB" w:rsidRDefault="00E532EB" w:rsidP="00F36CA0">
      <w:pPr>
        <w:spacing w:line="600" w:lineRule="exact"/>
        <w:ind w:right="640"/>
        <w:rPr>
          <w:rFonts w:ascii="仿宋_GB2312" w:eastAsia="仿宋_GB2312" w:hAnsi="仿宋"/>
          <w:color w:val="000000"/>
          <w:sz w:val="32"/>
          <w:szCs w:val="32"/>
        </w:rPr>
      </w:pPr>
    </w:p>
    <w:p w:rsidR="00E532EB" w:rsidRDefault="00E532EB" w:rsidP="00453513">
      <w:pPr>
        <w:spacing w:line="600" w:lineRule="exact"/>
        <w:ind w:right="640"/>
        <w:rPr>
          <w:rFonts w:ascii="仿宋_GB2312" w:eastAsia="仿宋_GB2312" w:hAnsi="仿宋"/>
          <w:color w:val="000000"/>
          <w:sz w:val="32"/>
          <w:szCs w:val="32"/>
        </w:rPr>
      </w:pPr>
    </w:p>
    <w:p w:rsidR="00E532EB" w:rsidRPr="00453513" w:rsidRDefault="00E532EB" w:rsidP="00453513">
      <w:pPr>
        <w:pBdr>
          <w:top w:val="single" w:sz="6" w:space="1" w:color="auto"/>
          <w:bottom w:val="single" w:sz="6" w:space="1" w:color="auto"/>
        </w:pBdr>
        <w:rPr>
          <w:rFonts w:ascii="仿宋" w:eastAsia="仿宋" w:hAnsi="仿宋" w:cs="仿宋"/>
          <w:sz w:val="32"/>
          <w:szCs w:val="32"/>
        </w:rPr>
        <w:sectPr w:rsidR="00E532EB" w:rsidRPr="00453513">
          <w:footerReference w:type="default" r:id="rId7"/>
          <w:pgSz w:w="11906" w:h="16838"/>
          <w:pgMar w:top="1474" w:right="1474" w:bottom="1474" w:left="1474" w:header="851" w:footer="992" w:gutter="0"/>
          <w:cols w:space="720"/>
          <w:docGrid w:type="lines" w:linePitch="312"/>
        </w:sectPr>
      </w:pPr>
      <w:r>
        <w:rPr>
          <w:rFonts w:ascii="仿宋" w:eastAsia="仿宋" w:hAnsi="仿宋" w:cs="仿宋" w:hint="eastAsia"/>
          <w:sz w:val="32"/>
          <w:szCs w:val="32"/>
        </w:rPr>
        <w:t>沈阳音乐学院党政办公室             2018年 7 月</w:t>
      </w:r>
      <w:r w:rsidR="00F1346F">
        <w:rPr>
          <w:rFonts w:ascii="仿宋" w:eastAsia="仿宋" w:hAnsi="仿宋" w:cs="仿宋" w:hint="eastAsia"/>
          <w:sz w:val="32"/>
          <w:szCs w:val="32"/>
        </w:rPr>
        <w:t>20</w:t>
      </w:r>
      <w:r>
        <w:rPr>
          <w:rFonts w:ascii="仿宋" w:eastAsia="仿宋" w:hAnsi="仿宋" w:cs="仿宋" w:hint="eastAsia"/>
          <w:sz w:val="32"/>
          <w:szCs w:val="32"/>
        </w:rPr>
        <w:t>日印发</w:t>
      </w:r>
    </w:p>
    <w:p w:rsidR="00F36CA0" w:rsidRPr="00404DA2" w:rsidRDefault="00F36CA0" w:rsidP="00F36CA0">
      <w:pPr>
        <w:spacing w:line="600" w:lineRule="exact"/>
        <w:jc w:val="left"/>
        <w:rPr>
          <w:rFonts w:ascii="黑体" w:eastAsia="黑体" w:hAnsi="黑体"/>
          <w:color w:val="000000"/>
          <w:sz w:val="32"/>
          <w:szCs w:val="32"/>
        </w:rPr>
      </w:pPr>
      <w:bookmarkStart w:id="0" w:name="_GoBack"/>
      <w:bookmarkEnd w:id="0"/>
      <w:r w:rsidRPr="00404DA2">
        <w:rPr>
          <w:rFonts w:ascii="黑体" w:eastAsia="黑体" w:hAnsi="黑体" w:hint="eastAsia"/>
          <w:color w:val="000000"/>
          <w:sz w:val="32"/>
          <w:szCs w:val="32"/>
        </w:rPr>
        <w:lastRenderedPageBreak/>
        <w:t>附件：</w:t>
      </w:r>
    </w:p>
    <w:p w:rsidR="00F36CA0" w:rsidRDefault="00F36CA0" w:rsidP="00F36CA0">
      <w:pPr>
        <w:spacing w:line="600" w:lineRule="exact"/>
        <w:jc w:val="center"/>
        <w:rPr>
          <w:rFonts w:ascii="宋体" w:hAnsi="宋体"/>
          <w:b/>
          <w:bCs/>
          <w:color w:val="000000"/>
          <w:sz w:val="44"/>
        </w:rPr>
      </w:pPr>
    </w:p>
    <w:p w:rsidR="00F36CA0" w:rsidRDefault="00F36CA0" w:rsidP="00F36CA0">
      <w:pPr>
        <w:spacing w:line="600" w:lineRule="exact"/>
        <w:jc w:val="center"/>
        <w:rPr>
          <w:rFonts w:ascii="宋体" w:hAnsi="宋体"/>
          <w:b/>
          <w:bCs/>
          <w:color w:val="000000"/>
          <w:sz w:val="44"/>
        </w:rPr>
      </w:pPr>
      <w:r>
        <w:rPr>
          <w:rFonts w:ascii="宋体" w:hAnsi="宋体" w:hint="eastAsia"/>
          <w:b/>
          <w:bCs/>
          <w:color w:val="000000"/>
          <w:sz w:val="44"/>
        </w:rPr>
        <w:t>沈阳音乐学院课程考试试卷规范</w:t>
      </w:r>
    </w:p>
    <w:p w:rsidR="00F36CA0" w:rsidRDefault="00F36CA0" w:rsidP="00F36CA0">
      <w:pPr>
        <w:spacing w:line="620" w:lineRule="exact"/>
        <w:rPr>
          <w:rFonts w:ascii="仿宋" w:eastAsia="仿宋" w:hAnsi="仿宋"/>
          <w:b/>
          <w:bCs/>
          <w:color w:val="000000"/>
          <w:sz w:val="34"/>
          <w:szCs w:val="34"/>
        </w:rPr>
      </w:pP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为规范我院课程考试试卷，加强对命题工作的科学化管理，特对我院课程考试试卷格式、部分命题设计、指导语、命题规范及其他有关问题提出具体要求。</w:t>
      </w:r>
    </w:p>
    <w:p w:rsidR="00F36CA0" w:rsidRDefault="00F36CA0" w:rsidP="00F36CA0">
      <w:pPr>
        <w:spacing w:line="600" w:lineRule="exact"/>
        <w:ind w:rightChars="-19" w:right="-40" w:firstLineChars="200" w:firstLine="640"/>
        <w:rPr>
          <w:rFonts w:ascii="黑体" w:eastAsia="黑体" w:hAnsi="黑体"/>
          <w:bCs/>
          <w:color w:val="000000"/>
          <w:sz w:val="32"/>
          <w:szCs w:val="32"/>
        </w:rPr>
      </w:pPr>
      <w:r>
        <w:rPr>
          <w:rFonts w:ascii="黑体" w:eastAsia="黑体" w:hAnsi="黑体" w:hint="eastAsia"/>
          <w:bCs/>
          <w:color w:val="000000"/>
          <w:sz w:val="32"/>
          <w:szCs w:val="32"/>
        </w:rPr>
        <w:t>一、考试命题试卷格式</w:t>
      </w:r>
    </w:p>
    <w:p w:rsidR="00F36CA0" w:rsidRPr="00404DA2" w:rsidRDefault="00F36CA0" w:rsidP="00F36CA0">
      <w:pPr>
        <w:spacing w:line="600" w:lineRule="exact"/>
        <w:ind w:left="560" w:rightChars="-19" w:right="-40"/>
        <w:rPr>
          <w:rFonts w:ascii="楷体_GB2312" w:eastAsia="楷体_GB2312" w:hAnsi="楷体"/>
          <w:color w:val="000000"/>
          <w:sz w:val="32"/>
          <w:szCs w:val="32"/>
        </w:rPr>
      </w:pPr>
      <w:r w:rsidRPr="00404DA2">
        <w:rPr>
          <w:rFonts w:ascii="楷体_GB2312" w:eastAsia="楷体_GB2312" w:hAnsi="楷体" w:hint="eastAsia"/>
          <w:color w:val="000000"/>
          <w:sz w:val="32"/>
          <w:szCs w:val="32"/>
        </w:rPr>
        <w:t>（一）卷首</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卷首的每项内容应认真填写清楚。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1980"/>
        <w:gridCol w:w="1706"/>
        <w:gridCol w:w="2254"/>
      </w:tblGrid>
      <w:tr w:rsidR="00F36CA0" w:rsidRPr="00404DA2" w:rsidTr="00FE789A">
        <w:tc>
          <w:tcPr>
            <w:tcW w:w="3240" w:type="dxa"/>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r w:rsidRPr="00404DA2">
              <w:rPr>
                <w:rFonts w:ascii="仿宋_GB2312" w:eastAsia="仿宋_GB2312" w:hAnsi="仿宋" w:hint="eastAsia"/>
                <w:color w:val="000000"/>
                <w:sz w:val="32"/>
                <w:szCs w:val="32"/>
              </w:rPr>
              <w:t>教材名称及版本</w:t>
            </w:r>
          </w:p>
        </w:tc>
        <w:tc>
          <w:tcPr>
            <w:tcW w:w="1980" w:type="dxa"/>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c>
          <w:tcPr>
            <w:tcW w:w="1706" w:type="dxa"/>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r w:rsidRPr="00404DA2">
              <w:rPr>
                <w:rFonts w:ascii="仿宋_GB2312" w:eastAsia="仿宋_GB2312" w:hAnsi="仿宋" w:hint="eastAsia"/>
                <w:color w:val="000000"/>
                <w:sz w:val="32"/>
                <w:szCs w:val="32"/>
              </w:rPr>
              <w:t>审 题 者</w:t>
            </w:r>
          </w:p>
        </w:tc>
        <w:tc>
          <w:tcPr>
            <w:tcW w:w="2254" w:type="dxa"/>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r>
      <w:tr w:rsidR="00F36CA0" w:rsidRPr="00404DA2" w:rsidTr="00FE789A">
        <w:tc>
          <w:tcPr>
            <w:tcW w:w="3240" w:type="dxa"/>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r w:rsidRPr="00404DA2">
              <w:rPr>
                <w:rFonts w:ascii="仿宋_GB2312" w:eastAsia="仿宋_GB2312" w:hAnsi="仿宋" w:hint="eastAsia"/>
                <w:color w:val="000000"/>
                <w:sz w:val="32"/>
                <w:szCs w:val="32"/>
              </w:rPr>
              <w:t>编著者及出版社</w:t>
            </w:r>
          </w:p>
        </w:tc>
        <w:tc>
          <w:tcPr>
            <w:tcW w:w="1980" w:type="dxa"/>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c>
          <w:tcPr>
            <w:tcW w:w="1706" w:type="dxa"/>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r w:rsidRPr="00404DA2">
              <w:rPr>
                <w:rFonts w:ascii="仿宋_GB2312" w:eastAsia="仿宋_GB2312" w:hAnsi="仿宋" w:hint="eastAsia"/>
                <w:color w:val="000000"/>
                <w:sz w:val="32"/>
                <w:szCs w:val="32"/>
              </w:rPr>
              <w:t>命题时间</w:t>
            </w:r>
          </w:p>
        </w:tc>
        <w:tc>
          <w:tcPr>
            <w:tcW w:w="2254" w:type="dxa"/>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r>
      <w:tr w:rsidR="00F36CA0" w:rsidRPr="00404DA2" w:rsidTr="00FE789A">
        <w:tc>
          <w:tcPr>
            <w:tcW w:w="3240" w:type="dxa"/>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r w:rsidRPr="00404DA2">
              <w:rPr>
                <w:rFonts w:ascii="仿宋_GB2312" w:eastAsia="仿宋_GB2312" w:hAnsi="仿宋" w:hint="eastAsia"/>
                <w:color w:val="000000"/>
                <w:sz w:val="32"/>
                <w:szCs w:val="32"/>
              </w:rPr>
              <w:t>命 题 者</w:t>
            </w:r>
          </w:p>
        </w:tc>
        <w:tc>
          <w:tcPr>
            <w:tcW w:w="1980" w:type="dxa"/>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c>
          <w:tcPr>
            <w:tcW w:w="1706" w:type="dxa"/>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r w:rsidRPr="00404DA2">
              <w:rPr>
                <w:rFonts w:ascii="仿宋_GB2312" w:eastAsia="仿宋_GB2312" w:hAnsi="仿宋" w:hint="eastAsia"/>
                <w:color w:val="000000"/>
                <w:sz w:val="32"/>
                <w:szCs w:val="32"/>
              </w:rPr>
              <w:t>考试时间</w:t>
            </w:r>
          </w:p>
        </w:tc>
        <w:tc>
          <w:tcPr>
            <w:tcW w:w="2254" w:type="dxa"/>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r>
    </w:tbl>
    <w:p w:rsidR="00F36CA0" w:rsidRPr="00404DA2" w:rsidRDefault="00F36CA0" w:rsidP="00F36CA0">
      <w:pPr>
        <w:spacing w:line="620" w:lineRule="exact"/>
        <w:ind w:left="560" w:rightChars="-19" w:right="-40"/>
        <w:rPr>
          <w:rFonts w:ascii="仿宋_GB2312" w:eastAsia="仿宋_GB2312" w:hAnsi="仿宋"/>
          <w:color w:val="00000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720"/>
        <w:gridCol w:w="720"/>
        <w:gridCol w:w="720"/>
        <w:gridCol w:w="720"/>
        <w:gridCol w:w="720"/>
        <w:gridCol w:w="720"/>
        <w:gridCol w:w="720"/>
        <w:gridCol w:w="1260"/>
        <w:gridCol w:w="1080"/>
      </w:tblGrid>
      <w:tr w:rsidR="00F36CA0" w:rsidRPr="00404DA2" w:rsidTr="00FE789A">
        <w:tc>
          <w:tcPr>
            <w:tcW w:w="180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r w:rsidRPr="00404DA2">
              <w:rPr>
                <w:rFonts w:ascii="仿宋_GB2312" w:eastAsia="仿宋_GB2312" w:hAnsi="仿宋" w:hint="eastAsia"/>
                <w:color w:val="000000"/>
                <w:sz w:val="32"/>
                <w:szCs w:val="32"/>
              </w:rPr>
              <w:t>题  号</w:t>
            </w: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r w:rsidRPr="00404DA2">
              <w:rPr>
                <w:rFonts w:ascii="仿宋_GB2312" w:eastAsia="仿宋_GB2312" w:hAnsi="仿宋" w:hint="eastAsia"/>
                <w:color w:val="000000"/>
                <w:sz w:val="32"/>
                <w:szCs w:val="32"/>
              </w:rPr>
              <w:t>一</w:t>
            </w: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r w:rsidRPr="00404DA2">
              <w:rPr>
                <w:rFonts w:ascii="仿宋_GB2312" w:eastAsia="仿宋_GB2312" w:hAnsi="仿宋" w:hint="eastAsia"/>
                <w:color w:val="000000"/>
                <w:sz w:val="32"/>
                <w:szCs w:val="32"/>
              </w:rPr>
              <w:t>二</w:t>
            </w: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r w:rsidRPr="00404DA2">
              <w:rPr>
                <w:rFonts w:ascii="仿宋_GB2312" w:eastAsia="仿宋_GB2312" w:hAnsi="仿宋" w:hint="eastAsia"/>
                <w:color w:val="000000"/>
                <w:sz w:val="32"/>
                <w:szCs w:val="32"/>
              </w:rPr>
              <w:t>三</w:t>
            </w: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r w:rsidRPr="00404DA2">
              <w:rPr>
                <w:rFonts w:ascii="仿宋_GB2312" w:eastAsia="仿宋_GB2312" w:hAnsi="仿宋" w:hint="eastAsia"/>
                <w:color w:val="000000"/>
                <w:sz w:val="32"/>
                <w:szCs w:val="32"/>
              </w:rPr>
              <w:t>四</w:t>
            </w: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r w:rsidRPr="00404DA2">
              <w:rPr>
                <w:rFonts w:ascii="仿宋_GB2312" w:eastAsia="仿宋_GB2312" w:hAnsi="仿宋" w:hint="eastAsia"/>
                <w:color w:val="000000"/>
                <w:sz w:val="32"/>
                <w:szCs w:val="32"/>
              </w:rPr>
              <w:t>五</w:t>
            </w: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r w:rsidRPr="00404DA2">
              <w:rPr>
                <w:rFonts w:ascii="仿宋_GB2312" w:eastAsia="仿宋_GB2312" w:hAnsi="仿宋" w:hint="eastAsia"/>
                <w:color w:val="000000"/>
                <w:sz w:val="32"/>
                <w:szCs w:val="32"/>
              </w:rPr>
              <w:t>六</w:t>
            </w: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r w:rsidRPr="00404DA2">
              <w:rPr>
                <w:rFonts w:ascii="仿宋_GB2312" w:eastAsia="仿宋_GB2312" w:hAnsi="仿宋" w:hint="eastAsia"/>
                <w:color w:val="000000"/>
                <w:sz w:val="32"/>
                <w:szCs w:val="32"/>
              </w:rPr>
              <w:t>七</w:t>
            </w:r>
          </w:p>
        </w:tc>
        <w:tc>
          <w:tcPr>
            <w:tcW w:w="126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r w:rsidRPr="00404DA2">
              <w:rPr>
                <w:rFonts w:ascii="仿宋_GB2312" w:eastAsia="仿宋_GB2312" w:hAnsi="仿宋" w:hint="eastAsia"/>
                <w:color w:val="000000"/>
                <w:sz w:val="32"/>
                <w:szCs w:val="32"/>
              </w:rPr>
              <w:t>总 分</w:t>
            </w:r>
          </w:p>
        </w:tc>
        <w:tc>
          <w:tcPr>
            <w:tcW w:w="108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r w:rsidRPr="00404DA2">
              <w:rPr>
                <w:rFonts w:ascii="仿宋_GB2312" w:eastAsia="仿宋_GB2312" w:hAnsi="仿宋" w:hint="eastAsia"/>
                <w:color w:val="000000"/>
                <w:sz w:val="32"/>
                <w:szCs w:val="32"/>
              </w:rPr>
              <w:t>审核</w:t>
            </w:r>
          </w:p>
        </w:tc>
      </w:tr>
      <w:tr w:rsidR="00F36CA0" w:rsidRPr="00404DA2" w:rsidTr="00FE789A">
        <w:trPr>
          <w:cantSplit/>
        </w:trPr>
        <w:tc>
          <w:tcPr>
            <w:tcW w:w="180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r w:rsidRPr="00404DA2">
              <w:rPr>
                <w:rFonts w:ascii="仿宋_GB2312" w:eastAsia="仿宋_GB2312" w:hAnsi="仿宋" w:hint="eastAsia"/>
                <w:color w:val="000000"/>
                <w:sz w:val="32"/>
                <w:szCs w:val="32"/>
              </w:rPr>
              <w:t>得  分</w:t>
            </w: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c>
          <w:tcPr>
            <w:tcW w:w="126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c>
          <w:tcPr>
            <w:tcW w:w="108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r>
      <w:tr w:rsidR="00F36CA0" w:rsidRPr="00404DA2" w:rsidTr="00FE789A">
        <w:trPr>
          <w:cantSplit/>
        </w:trPr>
        <w:tc>
          <w:tcPr>
            <w:tcW w:w="180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r w:rsidRPr="00404DA2">
              <w:rPr>
                <w:rFonts w:ascii="仿宋_GB2312" w:eastAsia="仿宋_GB2312" w:hAnsi="仿宋" w:hint="eastAsia"/>
                <w:color w:val="000000"/>
                <w:sz w:val="32"/>
                <w:szCs w:val="32"/>
              </w:rPr>
              <w:t>评卷人</w:t>
            </w: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c>
          <w:tcPr>
            <w:tcW w:w="72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c>
          <w:tcPr>
            <w:tcW w:w="1260" w:type="dxa"/>
            <w:tcBorders>
              <w:bottom w:val="single" w:sz="4" w:space="0" w:color="auto"/>
            </w:tcBorders>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c>
          <w:tcPr>
            <w:tcW w:w="1080" w:type="dxa"/>
            <w:vAlign w:val="center"/>
          </w:tcPr>
          <w:p w:rsidR="00F36CA0" w:rsidRPr="00404DA2" w:rsidRDefault="00F36CA0" w:rsidP="00FE789A">
            <w:pPr>
              <w:spacing w:line="620" w:lineRule="exact"/>
              <w:ind w:rightChars="-19" w:right="-40"/>
              <w:jc w:val="center"/>
              <w:rPr>
                <w:rFonts w:ascii="仿宋_GB2312" w:eastAsia="仿宋_GB2312" w:hAnsi="仿宋"/>
                <w:color w:val="000000"/>
                <w:sz w:val="32"/>
                <w:szCs w:val="32"/>
              </w:rPr>
            </w:pPr>
          </w:p>
        </w:tc>
      </w:tr>
    </w:tbl>
    <w:p w:rsidR="00F36CA0" w:rsidRPr="00404DA2" w:rsidRDefault="00F36CA0" w:rsidP="00F36CA0">
      <w:pPr>
        <w:spacing w:line="600" w:lineRule="exact"/>
        <w:ind w:left="560" w:rightChars="-19" w:right="-40"/>
        <w:rPr>
          <w:rFonts w:ascii="楷体_GB2312" w:eastAsia="楷体_GB2312" w:hAnsi="楷体"/>
          <w:color w:val="000000"/>
          <w:sz w:val="32"/>
          <w:szCs w:val="32"/>
        </w:rPr>
      </w:pPr>
      <w:r w:rsidRPr="00404DA2">
        <w:rPr>
          <w:rFonts w:ascii="楷体_GB2312" w:eastAsia="楷体_GB2312" w:hAnsi="楷体" w:hint="eastAsia"/>
          <w:color w:val="000000"/>
          <w:sz w:val="32"/>
          <w:szCs w:val="32"/>
        </w:rPr>
        <w:t>（二）题型排列</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题型按从易到难的顺序排列。</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选择题（从下列各题X个备选答案中选择X个正确答案，并将其代号写在题后面的括号内，答案选错或未选全者，该题不得分。每小题X分，共X分。）</w:t>
      </w:r>
    </w:p>
    <w:p w:rsidR="00F36CA0" w:rsidRPr="00404DA2" w:rsidRDefault="00F36CA0" w:rsidP="00F36CA0">
      <w:pPr>
        <w:spacing w:line="600" w:lineRule="exact"/>
        <w:ind w:left="560" w:rightChars="-19" w:right="-40"/>
        <w:rPr>
          <w:rFonts w:ascii="楷体_GB2312" w:eastAsia="楷体_GB2312" w:hAnsi="楷体"/>
          <w:color w:val="000000"/>
          <w:sz w:val="32"/>
          <w:szCs w:val="32"/>
        </w:rPr>
      </w:pPr>
      <w:r w:rsidRPr="00404DA2">
        <w:rPr>
          <w:rFonts w:ascii="楷体_GB2312" w:eastAsia="楷体_GB2312" w:hAnsi="楷体" w:hint="eastAsia"/>
          <w:color w:val="000000"/>
          <w:sz w:val="32"/>
          <w:szCs w:val="32"/>
        </w:rPr>
        <w:lastRenderedPageBreak/>
        <w:t>（三）标写分值</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1.如果某大题只有一个小题，分值就标在题型后面。</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2.如果某大题有多个小题，且分值相等，分值应标在指导语后面，格式为：每小题X分，共X分。</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3.如果某大题有多个小题，且分值不等，则总分值标在指导语后面；如无指导语则标在大题题型后面，每小题分值标在小题后面。</w:t>
      </w:r>
    </w:p>
    <w:p w:rsidR="00F36CA0" w:rsidRPr="00404DA2" w:rsidRDefault="00F36CA0" w:rsidP="00F36CA0">
      <w:pPr>
        <w:spacing w:line="600" w:lineRule="exact"/>
        <w:ind w:left="560" w:rightChars="-19" w:right="-40"/>
        <w:rPr>
          <w:rFonts w:ascii="楷体_GB2312" w:eastAsia="楷体_GB2312" w:hAnsi="楷体"/>
          <w:color w:val="000000"/>
          <w:sz w:val="32"/>
          <w:szCs w:val="32"/>
        </w:rPr>
      </w:pPr>
      <w:r w:rsidRPr="00404DA2">
        <w:rPr>
          <w:rFonts w:ascii="楷体_GB2312" w:eastAsia="楷体_GB2312" w:hAnsi="楷体" w:hint="eastAsia"/>
          <w:color w:val="000000"/>
          <w:sz w:val="32"/>
          <w:szCs w:val="32"/>
        </w:rPr>
        <w:t>（四）打印要求</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1.试题和标准答案一律用A4纸，单面打印。</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2.文字、标点符号正确清晰。</w:t>
      </w:r>
    </w:p>
    <w:p w:rsidR="00F36CA0" w:rsidRDefault="00F36CA0" w:rsidP="00F36CA0">
      <w:pPr>
        <w:spacing w:line="600" w:lineRule="exact"/>
        <w:ind w:rightChars="-19" w:right="-40" w:firstLineChars="200" w:firstLine="640"/>
        <w:rPr>
          <w:rFonts w:ascii="黑体" w:eastAsia="黑体" w:hAnsi="黑体"/>
          <w:bCs/>
          <w:color w:val="000000"/>
          <w:sz w:val="32"/>
          <w:szCs w:val="32"/>
        </w:rPr>
      </w:pPr>
      <w:r>
        <w:rPr>
          <w:rFonts w:ascii="黑体" w:eastAsia="黑体" w:hAnsi="黑体" w:hint="eastAsia"/>
          <w:bCs/>
          <w:color w:val="000000"/>
          <w:sz w:val="32"/>
          <w:szCs w:val="32"/>
        </w:rPr>
        <w:t>二、命题总原则</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题意必须明确，形式尽量多样，指导语必须清晰、合理、严谨，使应试者能一目了然。</w:t>
      </w:r>
    </w:p>
    <w:p w:rsidR="00F36CA0" w:rsidRDefault="00F36CA0" w:rsidP="00F36CA0">
      <w:pPr>
        <w:spacing w:line="600" w:lineRule="exact"/>
        <w:ind w:rightChars="-19" w:right="-40" w:firstLineChars="200" w:firstLine="640"/>
        <w:rPr>
          <w:rFonts w:ascii="黑体" w:eastAsia="黑体" w:hAnsi="黑体"/>
          <w:bCs/>
          <w:color w:val="000000"/>
          <w:sz w:val="32"/>
          <w:szCs w:val="32"/>
        </w:rPr>
      </w:pPr>
      <w:r>
        <w:rPr>
          <w:rFonts w:ascii="黑体" w:eastAsia="黑体" w:hAnsi="黑体" w:hint="eastAsia"/>
          <w:bCs/>
          <w:color w:val="000000"/>
          <w:sz w:val="32"/>
          <w:szCs w:val="32"/>
        </w:rPr>
        <w:t>三、部分试题题型、指导语、命题规范介绍</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指导语：是针对题型需要达到的目的向学生指明答题方式的语句，并注明试题的分值情况。</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题干：是指表述一道试题内容的语言，其作用是使学生明白试题问什么，要求做什么，一般以完整的段落或专业术语构成。</w:t>
      </w:r>
    </w:p>
    <w:p w:rsidR="00F36CA0" w:rsidRPr="00404DA2" w:rsidRDefault="00F36CA0" w:rsidP="00F36CA0">
      <w:pPr>
        <w:spacing w:line="600" w:lineRule="exact"/>
        <w:ind w:left="560" w:rightChars="-19" w:right="-40"/>
        <w:rPr>
          <w:rFonts w:ascii="楷体_GB2312" w:eastAsia="楷体_GB2312" w:hAnsi="楷体"/>
          <w:color w:val="000000"/>
          <w:sz w:val="32"/>
          <w:szCs w:val="32"/>
        </w:rPr>
      </w:pPr>
      <w:r w:rsidRPr="00404DA2">
        <w:rPr>
          <w:rFonts w:ascii="楷体_GB2312" w:eastAsia="楷体_GB2312" w:hAnsi="楷体" w:hint="eastAsia"/>
          <w:color w:val="000000"/>
          <w:sz w:val="32"/>
          <w:szCs w:val="32"/>
        </w:rPr>
        <w:t>（一）选择题</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形式：由一个题和若干备选答案组成。</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指导语：选择题（从下列各题X个备选答案中选择X个正确答案，并将其代号写在题后面的括号内，答案选错或未选全者，不得分。每小题X分，共X分。）</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lastRenderedPageBreak/>
        <w:t>1.选择题由单项选择题、多项选择题混合组配。每小题由题干和三至四个备选答案组成，备选答案的正误界限要明确，不正确的备选答案要有似真性。</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2.选择题题干后面一律标出“（    ）”，以备应试者填写答题代号。备选答案代号应一律采用A B C等字母表示，依顺序排列；若正确答案在题干中间，则用空格表示空白。</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3. 题型结构由客观性试题和主观性试题两部分组成的，选择题总分值不超过试卷总分的20%。</w:t>
      </w:r>
    </w:p>
    <w:p w:rsidR="00F36CA0" w:rsidRPr="00404DA2" w:rsidRDefault="00F36CA0" w:rsidP="00F36CA0">
      <w:pPr>
        <w:spacing w:line="600" w:lineRule="exact"/>
        <w:ind w:left="560" w:rightChars="-19" w:right="-40"/>
        <w:rPr>
          <w:rFonts w:ascii="楷体_GB2312" w:eastAsia="楷体_GB2312" w:hAnsi="楷体"/>
          <w:color w:val="000000"/>
          <w:sz w:val="32"/>
          <w:szCs w:val="32"/>
        </w:rPr>
      </w:pPr>
      <w:r w:rsidRPr="00404DA2">
        <w:rPr>
          <w:rFonts w:ascii="楷体_GB2312" w:eastAsia="楷体_GB2312" w:hAnsi="楷体" w:hint="eastAsia"/>
          <w:color w:val="000000"/>
          <w:sz w:val="32"/>
          <w:szCs w:val="32"/>
        </w:rPr>
        <w:t>（二）填空题</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考核应试者对基本知识的掌握程度。</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指导语：填空题（每小题X分，共X分。）</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1.填空题的答案必须是确定和唯一的。</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2.每小题填空数为1－2个，每空分值最多为2分。</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3. 题型结构由客观性试题和主观性试题两部分组成的，填空题总分值不超过试卷总分的20%。</w:t>
      </w:r>
    </w:p>
    <w:p w:rsidR="00F36CA0" w:rsidRDefault="00F36CA0" w:rsidP="00F36CA0">
      <w:pPr>
        <w:spacing w:line="600" w:lineRule="exact"/>
        <w:ind w:left="560" w:rightChars="-19" w:right="-40"/>
        <w:rPr>
          <w:rFonts w:ascii="楷体" w:eastAsia="楷体" w:hAnsi="楷体"/>
          <w:b/>
          <w:color w:val="000000"/>
          <w:sz w:val="32"/>
          <w:szCs w:val="32"/>
        </w:rPr>
      </w:pPr>
      <w:r w:rsidRPr="00404DA2">
        <w:rPr>
          <w:rFonts w:ascii="楷体_GB2312" w:eastAsia="楷体_GB2312" w:hAnsi="楷体" w:hint="eastAsia"/>
          <w:color w:val="000000"/>
          <w:sz w:val="32"/>
          <w:szCs w:val="32"/>
        </w:rPr>
        <w:t>（三）判断</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考核应试者对一些正确或错误知识的判断、理解能力。</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形式：命出正确与错误的试题，要求应试者判断正误。</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指导语：判断改错题（下列命题你认为正确的在题后括号内打“√”；错误的打“×”。每小题X分，共X分。）</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题型结构由客观性试题和主观性试题两部分组成的，判断题总分值不超过试卷总分的10%。</w:t>
      </w:r>
    </w:p>
    <w:p w:rsidR="00F36CA0" w:rsidRPr="00404DA2" w:rsidRDefault="00F36CA0" w:rsidP="00F36CA0">
      <w:pPr>
        <w:spacing w:line="600" w:lineRule="exact"/>
        <w:ind w:left="560" w:rightChars="-19" w:right="-40"/>
        <w:rPr>
          <w:rFonts w:ascii="楷体_GB2312" w:eastAsia="楷体_GB2312" w:hAnsi="楷体"/>
          <w:color w:val="000000"/>
          <w:sz w:val="32"/>
          <w:szCs w:val="32"/>
        </w:rPr>
      </w:pPr>
      <w:r w:rsidRPr="00404DA2">
        <w:rPr>
          <w:rFonts w:ascii="楷体_GB2312" w:eastAsia="楷体_GB2312" w:hAnsi="楷体" w:hint="eastAsia"/>
          <w:color w:val="000000"/>
          <w:sz w:val="32"/>
          <w:szCs w:val="32"/>
        </w:rPr>
        <w:t>（四）改错题</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lastRenderedPageBreak/>
        <w:t>侧重考核对知识的理解和运用。</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形式：给出一个知识性错误的试题，让应试者找出错误之处并把错误改正过来。</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指导语：改错题（请在下列试题中错误地方的下面划横线，并将正确的内容写在题后的括号内。每小题X分，共X分。）</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题型结构由客观性试题和主观性试题两部分组成的，改错题总分值不超过试卷总分的10%。</w:t>
      </w:r>
    </w:p>
    <w:p w:rsidR="00F36CA0" w:rsidRPr="00404DA2" w:rsidRDefault="00F36CA0" w:rsidP="00F36CA0">
      <w:pPr>
        <w:spacing w:line="600" w:lineRule="exact"/>
        <w:ind w:left="560" w:rightChars="-19" w:right="-40"/>
        <w:rPr>
          <w:rFonts w:ascii="楷体_GB2312" w:eastAsia="楷体_GB2312" w:hAnsi="楷体"/>
          <w:color w:val="000000"/>
          <w:sz w:val="32"/>
          <w:szCs w:val="32"/>
        </w:rPr>
      </w:pPr>
      <w:r w:rsidRPr="00404DA2">
        <w:rPr>
          <w:rFonts w:ascii="楷体_GB2312" w:eastAsia="楷体_GB2312" w:hAnsi="楷体" w:hint="eastAsia"/>
          <w:color w:val="000000"/>
          <w:sz w:val="32"/>
          <w:szCs w:val="32"/>
        </w:rPr>
        <w:t>（五）名词解释</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考核应试者对基本知识的掌握程度。</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形式：给出重要术语和基本概念，以考查应试者的记忆能力和对这些术语、概念的了解程度。</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指导语：名词解释（每小题X分，共X分。）</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题型结构由客观性试题和主观性试题两部分组成的，名词解释题总分值不超过试卷总分的15%。</w:t>
      </w:r>
    </w:p>
    <w:p w:rsidR="00F36CA0" w:rsidRPr="00404DA2" w:rsidRDefault="00F36CA0" w:rsidP="00F36CA0">
      <w:pPr>
        <w:spacing w:line="600" w:lineRule="exact"/>
        <w:ind w:left="560" w:rightChars="-19" w:right="-40"/>
        <w:rPr>
          <w:rFonts w:ascii="楷体_GB2312" w:eastAsia="楷体_GB2312" w:hAnsi="楷体"/>
          <w:color w:val="000000"/>
          <w:sz w:val="32"/>
          <w:szCs w:val="32"/>
        </w:rPr>
      </w:pPr>
      <w:r w:rsidRPr="00404DA2">
        <w:rPr>
          <w:rFonts w:ascii="楷体_GB2312" w:eastAsia="楷体_GB2312" w:hAnsi="楷体" w:hint="eastAsia"/>
          <w:color w:val="000000"/>
          <w:sz w:val="32"/>
          <w:szCs w:val="32"/>
        </w:rPr>
        <w:t>（六）简答题</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围绕基本概念、概念间的联系以及基本原理进行命题，重点考查应试者的理解程度，回答问题时不要求联系实际。此类试题深广度出入很大，因此，应根据教学大纲的要求和针对应试者的实际情况进行命题。试题要求明确，应突出答案的结构框架；措辞要清楚。</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指导语：简答题（回答要点，并简明扼要作解释。每小题X分，共X分。）</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题型结构由客观性试题和主观性试题两部分组成的，简答题</w:t>
      </w:r>
      <w:r w:rsidRPr="00404DA2">
        <w:rPr>
          <w:rFonts w:ascii="仿宋_GB2312" w:eastAsia="仿宋_GB2312" w:hAnsi="仿宋" w:hint="eastAsia"/>
          <w:color w:val="000000"/>
          <w:sz w:val="32"/>
          <w:szCs w:val="32"/>
        </w:rPr>
        <w:lastRenderedPageBreak/>
        <w:t>总分值不超过试卷总分的25%。</w:t>
      </w:r>
    </w:p>
    <w:p w:rsidR="00F36CA0" w:rsidRPr="00404DA2" w:rsidRDefault="00F36CA0" w:rsidP="00F36CA0">
      <w:pPr>
        <w:spacing w:line="600" w:lineRule="exact"/>
        <w:ind w:left="560" w:rightChars="-19" w:right="-40"/>
        <w:rPr>
          <w:rFonts w:ascii="楷体_GB2312" w:eastAsia="楷体_GB2312" w:hAnsi="楷体"/>
          <w:color w:val="000000"/>
          <w:sz w:val="32"/>
          <w:szCs w:val="32"/>
        </w:rPr>
      </w:pPr>
      <w:r w:rsidRPr="00404DA2">
        <w:rPr>
          <w:rFonts w:ascii="楷体_GB2312" w:eastAsia="楷体_GB2312" w:hAnsi="楷体" w:hint="eastAsia"/>
          <w:color w:val="000000"/>
          <w:sz w:val="32"/>
          <w:szCs w:val="32"/>
        </w:rPr>
        <w:t>（七）论述题</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着重考查应试者综合能力及运用所学知识分析和解决问题的能力，要有一定的深度，要求理论联系实际。这种题型常用于难于用其他题型命题来考核掌握知识程度的情况下。</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指导语：论述题（每小题X分，共X分。）</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题型结构由客观性试题和主观性试题两部分组成的，论述题总分值不超过试卷总分的20%左右。</w:t>
      </w:r>
    </w:p>
    <w:p w:rsidR="00F36CA0" w:rsidRPr="00404DA2" w:rsidRDefault="00F36CA0" w:rsidP="00F36CA0">
      <w:pPr>
        <w:spacing w:line="600" w:lineRule="exact"/>
        <w:ind w:left="560" w:rightChars="-19" w:right="-40"/>
        <w:rPr>
          <w:rFonts w:ascii="楷体_GB2312" w:eastAsia="楷体_GB2312" w:hAnsi="楷体"/>
          <w:color w:val="000000"/>
          <w:sz w:val="32"/>
          <w:szCs w:val="32"/>
        </w:rPr>
      </w:pPr>
      <w:r w:rsidRPr="00404DA2">
        <w:rPr>
          <w:rFonts w:ascii="楷体_GB2312" w:eastAsia="楷体_GB2312" w:hAnsi="楷体" w:hint="eastAsia"/>
          <w:color w:val="000000"/>
          <w:sz w:val="32"/>
          <w:szCs w:val="32"/>
        </w:rPr>
        <w:t>（八）案例分析</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考核对原理、法则的具体运用。</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形式：给出一个案例，然后根据案例内容提出一些问题，要求应试者分别回答。</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指导语：案例分析（每小题X分，共X分。）或（本题X分。）</w:t>
      </w:r>
    </w:p>
    <w:p w:rsidR="00F36CA0" w:rsidRPr="00404DA2" w:rsidRDefault="00F36CA0" w:rsidP="00F36CA0">
      <w:pPr>
        <w:spacing w:line="600" w:lineRule="exact"/>
        <w:ind w:rightChars="-19" w:right="-40" w:firstLineChars="200" w:firstLine="640"/>
        <w:rPr>
          <w:rFonts w:ascii="仿宋_GB2312" w:eastAsia="仿宋_GB2312" w:hAnsi="仿宋"/>
          <w:color w:val="000000"/>
          <w:sz w:val="32"/>
          <w:szCs w:val="32"/>
        </w:rPr>
      </w:pPr>
      <w:r w:rsidRPr="00404DA2">
        <w:rPr>
          <w:rFonts w:ascii="仿宋_GB2312" w:eastAsia="仿宋_GB2312" w:hAnsi="仿宋" w:hint="eastAsia"/>
          <w:color w:val="000000"/>
          <w:sz w:val="32"/>
          <w:szCs w:val="32"/>
        </w:rPr>
        <w:t>题型结构由客观性试题和主观性试题两部分组成的，案例分析题总分值不超过试卷总分的20%左右。</w:t>
      </w:r>
    </w:p>
    <w:p w:rsidR="00E532EB" w:rsidRPr="00F80705" w:rsidRDefault="00F36CA0" w:rsidP="00221852">
      <w:pPr>
        <w:pStyle w:val="20"/>
        <w:spacing w:line="600" w:lineRule="exact"/>
        <w:ind w:leftChars="0" w:left="0" w:rightChars="-19" w:right="-40" w:firstLineChars="197" w:firstLine="633"/>
        <w:rPr>
          <w:rFonts w:ascii="仿宋_GB2312" w:eastAsia="仿宋_GB2312" w:hAnsi="仿宋_GB2312" w:cs="仿宋_GB2312"/>
          <w:szCs w:val="21"/>
        </w:rPr>
      </w:pPr>
      <w:r>
        <w:rPr>
          <w:rFonts w:ascii="仿宋" w:eastAsia="仿宋" w:hAnsi="仿宋" w:hint="eastAsia"/>
          <w:b/>
          <w:bCs/>
          <w:color w:val="000000"/>
          <w:sz w:val="32"/>
          <w:szCs w:val="32"/>
        </w:rPr>
        <w:t>以上列举试卷格式及题型供命题人员参考选</w:t>
      </w:r>
    </w:p>
    <w:sectPr w:rsidR="00E532EB" w:rsidRPr="00F80705" w:rsidSect="00453513">
      <w:pgSz w:w="11906" w:h="16838"/>
      <w:pgMar w:top="1474" w:right="1474" w:bottom="147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AD0" w:rsidRDefault="00F93AD0" w:rsidP="008C5E11">
      <w:r>
        <w:separator/>
      </w:r>
    </w:p>
  </w:endnote>
  <w:endnote w:type="continuationSeparator" w:id="0">
    <w:p w:rsidR="00F93AD0" w:rsidRDefault="00F93AD0" w:rsidP="008C5E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7344"/>
      <w:docPartObj>
        <w:docPartGallery w:val="Page Numbers (Bottom of Page)"/>
        <w:docPartUnique/>
      </w:docPartObj>
    </w:sdtPr>
    <w:sdtContent>
      <w:p w:rsidR="007E04AF" w:rsidRDefault="003958BD">
        <w:pPr>
          <w:pStyle w:val="a4"/>
          <w:jc w:val="center"/>
        </w:pPr>
        <w:fldSimple w:instr=" PAGE   \* MERGEFORMAT ">
          <w:r w:rsidR="00221852" w:rsidRPr="00221852">
            <w:rPr>
              <w:noProof/>
              <w:lang w:val="zh-CN"/>
            </w:rPr>
            <w:t>8</w:t>
          </w:r>
        </w:fldSimple>
      </w:p>
    </w:sdtContent>
  </w:sdt>
  <w:p w:rsidR="007E04AF" w:rsidRDefault="007E04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AD0" w:rsidRDefault="00F93AD0" w:rsidP="008C5E11">
      <w:r>
        <w:separator/>
      </w:r>
    </w:p>
  </w:footnote>
  <w:footnote w:type="continuationSeparator" w:id="0">
    <w:p w:rsidR="00F93AD0" w:rsidRDefault="00F93AD0" w:rsidP="008C5E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7E2A"/>
    <w:rsid w:val="00071D36"/>
    <w:rsid w:val="000D1CDE"/>
    <w:rsid w:val="000D5C9D"/>
    <w:rsid w:val="000E2661"/>
    <w:rsid w:val="00155EDC"/>
    <w:rsid w:val="001C7ED5"/>
    <w:rsid w:val="00221852"/>
    <w:rsid w:val="002B5154"/>
    <w:rsid w:val="00375F22"/>
    <w:rsid w:val="003958BD"/>
    <w:rsid w:val="00453513"/>
    <w:rsid w:val="00491145"/>
    <w:rsid w:val="005B7E2A"/>
    <w:rsid w:val="005F7FE0"/>
    <w:rsid w:val="0062736F"/>
    <w:rsid w:val="006A2FAF"/>
    <w:rsid w:val="006A6E64"/>
    <w:rsid w:val="006B0974"/>
    <w:rsid w:val="006D462C"/>
    <w:rsid w:val="006E7F43"/>
    <w:rsid w:val="007116E2"/>
    <w:rsid w:val="00752E4E"/>
    <w:rsid w:val="00763B3F"/>
    <w:rsid w:val="007C4FAD"/>
    <w:rsid w:val="007C7723"/>
    <w:rsid w:val="007E04AF"/>
    <w:rsid w:val="00890487"/>
    <w:rsid w:val="00890B80"/>
    <w:rsid w:val="008C5E11"/>
    <w:rsid w:val="008F2152"/>
    <w:rsid w:val="0095390F"/>
    <w:rsid w:val="00A032EF"/>
    <w:rsid w:val="00A273C6"/>
    <w:rsid w:val="00A76680"/>
    <w:rsid w:val="00C70F8C"/>
    <w:rsid w:val="00D666DC"/>
    <w:rsid w:val="00E37454"/>
    <w:rsid w:val="00E532EB"/>
    <w:rsid w:val="00E56FF3"/>
    <w:rsid w:val="00ED4C46"/>
    <w:rsid w:val="00F1346F"/>
    <w:rsid w:val="00F36CA0"/>
    <w:rsid w:val="00F80705"/>
    <w:rsid w:val="00F83462"/>
    <w:rsid w:val="00F93AD0"/>
    <w:rsid w:val="102E32DD"/>
    <w:rsid w:val="1C644E1A"/>
    <w:rsid w:val="32AC082E"/>
    <w:rsid w:val="38C62324"/>
    <w:rsid w:val="45D90A39"/>
    <w:rsid w:val="46893514"/>
    <w:rsid w:val="55BE5C9E"/>
    <w:rsid w:val="5FE54704"/>
    <w:rsid w:val="6A372C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Indent" w:uiPriority="99"/>
    <w:lsdException w:name="Subtitle" w:qFormat="1"/>
    <w:lsdException w:name="Body Text Indent 2"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7E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C5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C5E11"/>
    <w:rPr>
      <w:kern w:val="2"/>
      <w:sz w:val="18"/>
      <w:szCs w:val="18"/>
    </w:rPr>
  </w:style>
  <w:style w:type="paragraph" w:styleId="a4">
    <w:name w:val="footer"/>
    <w:basedOn w:val="a"/>
    <w:link w:val="Char0"/>
    <w:uiPriority w:val="99"/>
    <w:rsid w:val="008C5E11"/>
    <w:pPr>
      <w:tabs>
        <w:tab w:val="center" w:pos="4153"/>
        <w:tab w:val="right" w:pos="8306"/>
      </w:tabs>
      <w:snapToGrid w:val="0"/>
      <w:jc w:val="left"/>
    </w:pPr>
    <w:rPr>
      <w:sz w:val="18"/>
      <w:szCs w:val="18"/>
    </w:rPr>
  </w:style>
  <w:style w:type="character" w:customStyle="1" w:styleId="Char0">
    <w:name w:val="页脚 Char"/>
    <w:basedOn w:val="a0"/>
    <w:link w:val="a4"/>
    <w:uiPriority w:val="99"/>
    <w:rsid w:val="008C5E11"/>
    <w:rPr>
      <w:kern w:val="2"/>
      <w:sz w:val="18"/>
      <w:szCs w:val="18"/>
    </w:rPr>
  </w:style>
  <w:style w:type="paragraph" w:styleId="3">
    <w:name w:val="Body Text Indent 3"/>
    <w:basedOn w:val="a"/>
    <w:link w:val="3Char"/>
    <w:rsid w:val="0062736F"/>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62736F"/>
    <w:rPr>
      <w:rFonts w:ascii="Times New Roman" w:eastAsia="宋体" w:hAnsi="Times New Roman" w:cs="Times New Roman"/>
      <w:kern w:val="2"/>
      <w:sz w:val="16"/>
      <w:szCs w:val="16"/>
    </w:rPr>
  </w:style>
  <w:style w:type="paragraph" w:styleId="a5">
    <w:name w:val="Normal (Web)"/>
    <w:basedOn w:val="a"/>
    <w:uiPriority w:val="99"/>
    <w:rsid w:val="0062736F"/>
    <w:pPr>
      <w:widowControl/>
      <w:spacing w:before="100" w:beforeAutospacing="1" w:after="100" w:afterAutospacing="1"/>
      <w:jc w:val="left"/>
    </w:pPr>
    <w:rPr>
      <w:rFonts w:ascii="宋体" w:eastAsia="宋体" w:hAnsi="宋体" w:cs="宋体"/>
      <w:kern w:val="0"/>
      <w:sz w:val="24"/>
    </w:rPr>
  </w:style>
  <w:style w:type="character" w:styleId="a6">
    <w:name w:val="Strong"/>
    <w:basedOn w:val="a0"/>
    <w:uiPriority w:val="22"/>
    <w:qFormat/>
    <w:rsid w:val="0062736F"/>
    <w:rPr>
      <w:rFonts w:cs="Times New Roman"/>
      <w:b/>
      <w:bCs/>
    </w:rPr>
  </w:style>
  <w:style w:type="paragraph" w:styleId="a7">
    <w:name w:val="List Paragraph"/>
    <w:basedOn w:val="a"/>
    <w:uiPriority w:val="34"/>
    <w:qFormat/>
    <w:rsid w:val="0062736F"/>
    <w:pPr>
      <w:ind w:firstLineChars="200" w:firstLine="420"/>
    </w:pPr>
    <w:rPr>
      <w:rFonts w:ascii="Calibri" w:eastAsia="宋体" w:hAnsi="Calibri" w:cs="Times New Roman"/>
    </w:rPr>
  </w:style>
  <w:style w:type="paragraph" w:styleId="a8">
    <w:name w:val="Balloon Text"/>
    <w:basedOn w:val="a"/>
    <w:link w:val="Char1"/>
    <w:rsid w:val="008F2152"/>
    <w:rPr>
      <w:sz w:val="18"/>
      <w:szCs w:val="18"/>
    </w:rPr>
  </w:style>
  <w:style w:type="character" w:customStyle="1" w:styleId="Char1">
    <w:name w:val="批注框文本 Char"/>
    <w:basedOn w:val="a0"/>
    <w:link w:val="a8"/>
    <w:rsid w:val="008F2152"/>
    <w:rPr>
      <w:kern w:val="2"/>
      <w:sz w:val="18"/>
      <w:szCs w:val="18"/>
    </w:rPr>
  </w:style>
  <w:style w:type="paragraph" w:styleId="2">
    <w:name w:val="Body Text 2"/>
    <w:basedOn w:val="a"/>
    <w:link w:val="2Char"/>
    <w:rsid w:val="00E532EB"/>
    <w:pPr>
      <w:spacing w:after="120" w:line="480" w:lineRule="auto"/>
    </w:pPr>
  </w:style>
  <w:style w:type="character" w:customStyle="1" w:styleId="2Char">
    <w:name w:val="正文文本 2 Char"/>
    <w:basedOn w:val="a0"/>
    <w:link w:val="2"/>
    <w:rsid w:val="00E532EB"/>
    <w:rPr>
      <w:kern w:val="2"/>
      <w:sz w:val="21"/>
      <w:szCs w:val="24"/>
    </w:rPr>
  </w:style>
  <w:style w:type="character" w:customStyle="1" w:styleId="style51">
    <w:name w:val="style51"/>
    <w:uiPriority w:val="99"/>
    <w:rsid w:val="00E532EB"/>
    <w:rPr>
      <w:b/>
      <w:bCs/>
      <w:color w:val="FF0000"/>
      <w:sz w:val="28"/>
      <w:szCs w:val="28"/>
    </w:rPr>
  </w:style>
  <w:style w:type="paragraph" w:styleId="a9">
    <w:name w:val="Body Text Indent"/>
    <w:basedOn w:val="a"/>
    <w:link w:val="Char2"/>
    <w:uiPriority w:val="99"/>
    <w:unhideWhenUsed/>
    <w:rsid w:val="00F36CA0"/>
    <w:pPr>
      <w:spacing w:after="120"/>
      <w:ind w:leftChars="200" w:left="420"/>
    </w:pPr>
    <w:rPr>
      <w:rFonts w:ascii="Calibri" w:eastAsia="宋体" w:hAnsi="Calibri" w:cs="Times New Roman"/>
      <w:szCs w:val="22"/>
    </w:rPr>
  </w:style>
  <w:style w:type="character" w:customStyle="1" w:styleId="Char2">
    <w:name w:val="正文文本缩进 Char"/>
    <w:basedOn w:val="a0"/>
    <w:link w:val="a9"/>
    <w:uiPriority w:val="99"/>
    <w:rsid w:val="00F36CA0"/>
    <w:rPr>
      <w:rFonts w:ascii="Calibri" w:eastAsia="宋体" w:hAnsi="Calibri" w:cs="Times New Roman"/>
      <w:kern w:val="2"/>
      <w:sz w:val="21"/>
      <w:szCs w:val="22"/>
    </w:rPr>
  </w:style>
  <w:style w:type="paragraph" w:styleId="20">
    <w:name w:val="Body Text Indent 2"/>
    <w:basedOn w:val="a"/>
    <w:link w:val="2Char0"/>
    <w:uiPriority w:val="99"/>
    <w:unhideWhenUsed/>
    <w:qFormat/>
    <w:rsid w:val="00F36CA0"/>
    <w:pPr>
      <w:spacing w:after="120" w:line="480" w:lineRule="auto"/>
      <w:ind w:leftChars="200" w:left="420"/>
    </w:pPr>
    <w:rPr>
      <w:rFonts w:ascii="Calibri" w:eastAsia="宋体" w:hAnsi="Calibri" w:cs="Times New Roman"/>
      <w:szCs w:val="22"/>
    </w:rPr>
  </w:style>
  <w:style w:type="character" w:customStyle="1" w:styleId="2Char0">
    <w:name w:val="正文文本缩进 2 Char"/>
    <w:basedOn w:val="a0"/>
    <w:link w:val="20"/>
    <w:uiPriority w:val="99"/>
    <w:rsid w:val="00F36CA0"/>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994336574">
      <w:bodyDiv w:val="1"/>
      <w:marLeft w:val="0"/>
      <w:marRight w:val="0"/>
      <w:marTop w:val="0"/>
      <w:marBottom w:val="0"/>
      <w:divBdr>
        <w:top w:val="none" w:sz="0" w:space="0" w:color="auto"/>
        <w:left w:val="none" w:sz="0" w:space="0" w:color="auto"/>
        <w:bottom w:val="none" w:sz="0" w:space="0" w:color="auto"/>
        <w:right w:val="none" w:sz="0" w:space="0" w:color="auto"/>
      </w:divBdr>
    </w:div>
    <w:div w:id="1066345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570</Words>
  <Characters>3255</Characters>
  <Application>Microsoft Office Word</Application>
  <DocSecurity>0</DocSecurity>
  <Lines>27</Lines>
  <Paragraphs>7</Paragraphs>
  <ScaleCrop>false</ScaleCrop>
  <Company>Microsoft</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8</cp:revision>
  <cp:lastPrinted>2018-09-13T06:26:00Z</cp:lastPrinted>
  <dcterms:created xsi:type="dcterms:W3CDTF">2018-07-16T09:50:00Z</dcterms:created>
  <dcterms:modified xsi:type="dcterms:W3CDTF">2018-09-13T06:26:00Z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